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22 267 vom 22. Dezember 2023</w:t>
      </w:r>
    </w:p>
    <w:p>
      <w:r>
        <w:t>VS Kantonsgericht, 2023-12-22, FR</w:t>
      </w:r>
    </w:p>
    <w:p>
      <w:r>
        <w:rPr>
          <w:b/>
        </w:rPr>
        <w:t xml:space="preserve">Quelle: </w:t>
      </w:r>
      <w:r>
        <w:t>https://mcp.opencaselaw.ch/entscheid/vs_gerichte_P3 22 267</w:t>
      </w:r>
    </w:p>
    <w:p>
      <w:r>
        <w:t>FR: VS_GERICHTE P3 22 267 du 22 décembre 2023</w:t>
      </w:r>
    </w:p>
    <w:p>
      <w:r>
        <w:t>IT: VS_GERICHTE P3 22 267 del 22 dicembre 2023</w:t>
      </w:r>
    </w:p>
    <w:p>
      <w:pPr>
        <w:pStyle w:val="Heading2"/>
      </w:pPr>
      <w:r>
        <w:t>Regeste</w:t>
      </w:r>
    </w:p>
    <w:p>
      <w:r>
        <w:t>P3 22 267 ARRÊT DU 22 DÉCEMBRE 2023 Tribunal cantonal du Valais Chambre pénale Jacques Berthouzoz, juge suppléant ; Jean-Paul Margelisch, greffier en la cause entre X _________, recourante, représentée par Maître Charlotte Gagliardi, avocate, 1951 Sion et Y _________, intimé, représenté par Maître Christine Sattiva Spring, avocate, 1096 Cully et Z _________, intimée, représentée par Maître Christine Sattiva Spring, avocate, 1096 Cully (Non-entrée en matière ; art. 310 al. 1 CPP) recours contre l'ordonnance de l’Office régional du ministère public du Valais central du 5 octobre 2022</w:t>
      </w:r>
    </w:p>
    <w:p>
      <w:pPr>
        <w:pStyle w:val="Heading2"/>
      </w:pPr>
      <w:r>
        <w:t>Erwägungen</w:t>
      </w:r>
    </w:p>
    <w:p>
      <w:r>
        <w:rPr>
          <w:b/>
        </w:rPr>
        <w:t>E. 6</w:t>
      </w:r>
    </w:p>
    <w:p>
      <w:r>
        <w:t>6.1.1 Un recours peut être formé devant un juge unique de la Chambre pénale contre l’ordonnance de non-entrée en matière du ministère public (art. 310 al. 1 et 2, 322 al. 2 et 393 al. 1 let. a CPP, 20 al. 3 LOJ et 13 al. 1 LACPP). Sont notamment susceptibles d’être invoquées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ce qui lui permet de statuer par substitution de motifs (LIEBER, in : Donatsch/Hansjakob/Lieber, Kommentar zur Schweizerischen Strafprozessordnung [StPO], 2014, n. 1 ad art. 391 CPP). N’ayant en principe à connaître que de ce qui lui est soumis (arrêt du Tribunal fédéral 6B_207/2014 du 2 février 2015 consid. 5.2 et la référence citée), elle n’examine que les griefs soulevés, dès lors que le recours doit être motivé (RVJ 2014 p. 200 consid. 1 et la référence citée). 6.1.2 Le principe in dubio pro duriore découle du principe de la légalité (art. 5 al. 1 Cst. et 2 al. 1 CPP en relation avec les art. 309 al. 1, 319 al. 1 et 324 CPP ; ATF 138 IV 86</w:t>
      </w:r>
    </w:p>
    <w:p>
      <w:r>
        <w:t>- 7 -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En effet, en cas de doute quant à la situation factuelle ou juridique, ce n'est pas à l'autorité d'instruction ou d'accusation mais au juge matériellement compétent qu'il appartient de se prononcer (ATF 143 IV 241 consid. 2.2.1 ; 138 IV 86 consid. 4.1.2 ; arrêts du Tribunal fédéral 6B_940/2021 du 9 février 2023 consid. 2.1.3 ; 6B_1023/2021 du 30 janvier 2023 consid. 3 ; 6B_1178/2021 du 17 janvier 2023 consid. 2.3). Toutefois, il peut être renoncé à une mise en accusation lors que les accusations de la partie plaignante apparaissent moins crédibles, lorsqu'une condamnation apparaît a priori improbable au vu de l'ensemble des circonstances et aussi lorsque, face à des versions contradictoires des parties, il n'est pas possible d'apprécier l'une ou l'autre version comme étant plus ou moins plausible et qu'aucun résultat n'est à escompter d'autres moyens de preuve (cf. arrêts du Tribunal fédéral 7B_7/2022 du 12 octobre 2023 consid. 4.1 ; 6B_1148/2021 du 23 juin 2023 consid. 3.1 ; 6B_1023/2021 précité consid. 3.3 ; 6B_137/2021 du 27 septembre 2022 consid. 3.4 ; 6B_957/2021 du 24 mars 2022 consid. 2.3). 6.1.3 En l’espèce, il apparaît que X _________ a qualité pour recourir, dès lors qu’on peut déduire de sa volonté, signifiée lors de son audition du 13 juillet 2021 (R. 16), de porter plainte pénale contre A _________, Y _________ et Z _________ qu’elle entend agir comme demanderesse au pénal dans le cadre des infractions de menaces, contrainte, séquestration, usure et extorsion, en sus d’intervenir au plan civil en faisant valoir ultérieurement des prétentions en ce sens (cf. art. 104 al. 1 let. b et 118 s. CPP), ce qu’elle a d’ailleurs fait en saisissant en parallèle le Tribunal du travail afin d’obtenir différentes indemnités. Adressé dans le délai de dix jours dès la notification écrite de l’ordonnance litigieuse (art. 90 al. 1, 91 al. 1 et 2, 384 let. b et 396 al. 1 CPP), son recours respecte les conditions de forme et celles générales de motivation (art. 385 al. 1 et 396 al. 1 CPP).</w:t>
      </w:r>
    </w:p>
    <w:p>
      <w:r>
        <w:rPr>
          <w:b/>
        </w:rPr>
        <w:t>E. 6.2</w:t>
      </w:r>
    </w:p>
    <w:p>
      <w:r>
        <w:t>Pour que l’infraction d’extorsion (art. 156 CP), qui absorbe celles de menaces (art. 180 CP) et de contrainte (art. 181 CP), soit objectivement réalisée, il faut que l'auteur,</w:t>
      </w:r>
    </w:p>
    <w:p>
      <w:r>
        <w:t>- 8 - par un moyen de contrainte, ait déterminé une personne à accomplir un acte portant atteinte à son patrimoine ou à celui d'un tiers (arrêts du Tribunal fédéral 6B_1236/2021 du 4 novembre 2022 consid. 3.2 ; 6B_261/2020 du 10 juin 2020 consid. 2.1). L’un des deux moyens de contrainte consiste en la menace d'un dommage sérieux. La menace est un moyen de pression psychologique. La notion est la même que celle de l'infraction de contrainte de l'art. 181 CP (arrêt du Tribunal fédéral 6B_543/2022 du 15 février 2023 consid. 6.1 ; NIGGLI/WIPRÄCHTIGER, Commentaire, bâlois, Strafrecht II, 2019, n. 5 ad art. 156 CP ; DONATSCH, Strafrecht III, Delikte gegen den Einzelnen, 2018, p. 303 ; MACALUSO/MOREILLON/QUÉLOZ, Commentaire romand Code pénal II, 2017, n. 5 ad art. 156 CP). L'auteur doit faire craindre à la victime un inconvénient, dont l'arrivée paraît dépendre de sa volonté (ATF 122 IV 322 consid. 1a).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(ATF 141 IV 437 consid. 3.2.1 ; 137 IV 326 consid. 3.3.1).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 arrêts du Tribunal fédéral 6B_1272/2021 du 28 avril 2022 consid. 2.1.2 ; 6B_172/2019 du 5 juillet 2019 consid. 2.3). Sur le plan subjectif, il faut que l'auteur ait agi intentionnellement, le dol éventuel étant suffisant, et dans le dessein de se procurer ou de procurer à un tiers un enrichissement illégitime (arrêt du Tribunal fédéral 6B_1236/2021 précité consid. 3.2 i.f.). Par ailleurs, la réalisation de l'infraction de séquestration (art. 183 CP) implique que la victime se trouve au moins dans une situation dans laquelle il est difficile ou risqué pour elle de tenter de recouvrer sa liberté. Sur le plan subjectif, l'infraction requiert l'intention, laquelle doit porter sur tous les éléments constitutifs de l'infraction, y compris l'illicéité. Le dol éventuel suffit (arrêt du Tribunal fédéral 6B_543/2022 du 15 février 2023 consid. 5.2 et les références citées). Enfin, l’infraction d’usure (art. 157 CP) implique un échange disproportionné de prestations.</w:t>
      </w:r>
    </w:p>
    <w:p>
      <w:r>
        <w:t>- 9 -</w:t>
      </w:r>
    </w:p>
    <w:p>
      <w:r>
        <w:rPr>
          <w:b/>
        </w:rPr>
        <w:t>E. 6.3</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Il n'est pas nécessaire que le coauteur participe à la conception du projet, auquel il peut adhérer ultérieurement.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135 IV 152 consid. 2.3.1 ; 130 IV 58 consid. 9.2.1 ; arrêts du Tribunal fédéral 6B_314/2023 du 10 juillet 2023 consid. 5.3.1 ; 6B_1290/2022 du 7 juillet 2023 consid. 2.1.2 ; 6B_1035/2020 du 20 mai 2021 consid. 2.1.2). Au plan subjectif, la conscience et la volonté doivent porter sur l’ensemble des éléments objectifs de l’infraction considérée (ATF 118 IV 227 consid. 5d/aa). Par opposition à l'auteur direct, respectivement à l'auteur médiat ou au coauteur,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(ATF 149 IV 57 consid. 3.2.3 ; 132 IV 49 consid. 1.1 et les références citées).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149 IV 57 consid. 3.2.3 ; 132 IV 49 consid. 1.1 ; 121 IV 109 consid. 3a ; arrêt du Tribunal fédéral 6B_550/2023 du 25 octobre 2023 consid. 2.2).</w:t>
      </w:r>
    </w:p>
    <w:p>
      <w:r>
        <w:t>- 10 -</w:t>
      </w:r>
    </w:p>
    <w:p>
      <w:r>
        <w:rPr>
          <w:b/>
        </w:rPr>
        <w:t>E. 7</w:t>
      </w:r>
    </w:p>
    <w:p>
      <w:r>
        <w:t>En l’espèce, il résulte de ce qui précède qu’après la découverte de malversations relatives à l’activation et la vente de billets de loterie au commerce exploité par B _________ Sàrl à G _________, Y _________, en sa qualité de responsable des caisses et des infrastructures des magasins de cette société, a effectué des contrôles techniques qui l’ont convaincu de l’implication directe de l’employée X _________. C’est ainsi que, nanti de ces faits et suivant un processus qu’il appliquait en pareille situation (pratiqué d’ailleurs couramment par les responsables de ressources humaines), le directeur A _________ a décidé d’entendre cette personne et l’a conviée à une séance par l’entremise de Y _________ qui, comme il l’a reconnu lui-même, a avancé à son interlocutrice une raison ne correspondant pas à l’objectif réel de l’entretien. Ce cadre a été appelé à y participer afin de présenter les fichiers qu’il avait réunis et expliquer comment il fallait les comprendre en relation avec les malversations reprochées à l’employée. Pour sa part, en charge de la tenue du protocole de tous les entretiens effectués au sein de l’entreprise, l’assistante de direction Z _________ a été conviée à prendre des notes manuscrites afin d’établir un procès-verbal de la séance. Selon sa propre expression, A _________ a géré seul l’entretien, de A à Z. A cet égard, il n’existe pas d’élément probant faisant ressortir qu’il se soit entendu avec Y _________, ni a fortiori avec la responsable du procès-verbal, pour faire en sorte ou prendre le risque d’amener voire de contraindre l’employée X _________ à reconnaître des faits qu’elle n’aurait pas commis ou encore à admettre des prétentions exagérées. Des déclarations essentiellement concordantes et crédibles de ces cadres malgré les rapports professionnels entre les intéressés - aux yeux du directeur, les intimés devaient servir de témoins - qui ont été les seuls participants à la séance, hormis la recourante (comme cela se produit fréquemment en ce type de situation en circuit fermé), il apparaît clairement que Y _________ s’est cantonné dans son rôle technique - forcément accessoire - tendant à expliquer et étayer les faits qui étaient reprochés à X _________, même s’il a admis avoir énoncé une fausse raison pour ne pas révéler le pot-aux-roses lors de la convocation téléphonique, s’il a certainement échangé en séance quelques paroles avec son supérieur et s’il a ensuite fait des photos du porte-monnaie de la recourante, d’office ou sur demande de A _________. Par ailleurs, rien n’indique qu’il ait entendu s’immiscer dans les prérogatives de son supérieur en faisant également pression sur l’employée afin qu’elle passe aux aveux, accepte les modalités de remboursement du montant arrêté puis fournisse des garanties. De même, il n’existe aucun élément permettant de le suspecter d’avoir voulu limiter d’une quelconque</w:t>
      </w:r>
    </w:p>
    <w:p>
      <w:r>
        <w:t>- 11 - manière sa liberté de mouvement ni, au demeurant, de douter que les deux portes de la salle de conférence aient été laissées non verrouillées et que celle du bureau adjacent d’un collaborateur soit restée ouverte en permanence durant la suspension de séance. Eu égard à ces circonstances, on ne voit pas ce que de nouvelles auditions pourraient apporter de consistant quant à la mise à jour d’une volonté délictuelle de Y _________, même sous l’angle du dol éventuel, au regard des art. 156, 157, 181 ou 183 CP. Par ailleurs, au vu de ce qui précède, le fait qu’il aurait a adopté des procédés similaires dans d’autres cas où est intervenu le même trio de cadres (H _________, I _________, J _________) ne serait pas surprenant mais n’est de toute manière pas susceptible d’influer sur l’issue de la présente cause, ce qui dispense de donner suite à la demande d’édition du dossier MPC 21 2705. Il n’est pas non plus douteux qu’a fortiori, ce qui vient d’être relevé peut s’appliquer aussi à l’assistante de direction Z _________, affectée uniquement, selon l’attribution qui lui était fréquemment dévolue, à la tenue du procès-verbal puis en l’occurrence, avant qu’elle ait dû quitter la séance, à la réalisation du document comportant la reconnaissance de dette présentée à X _________ et que celle-ci a signée juste en- dessous de la clause au sujet de la prise de connaissance de son contenu et la confirmation de son exactitude, sans que cela ait été influencé par une proximité physique. Au surplus, il est à l’évidence dénué de portée que l’intimée a elle-même formulé une nuance en relevant, d’après ses termes, être peut-être aussi intervenue uniquement pour un complément d’explication afin de tenir correctement le procès- verbal et non pour poser des questions. Au terme de cet examen, le recours doit donc être rejeté.</w:t>
      </w:r>
    </w:p>
    <w:p>
      <w:r>
        <w:rPr>
          <w:b/>
        </w:rPr>
        <w:t>E. 8.1</w:t>
      </w:r>
    </w:p>
    <w:p>
      <w:r>
        <w:t>Dès lors que cette mesure lui avait déjà été accordée en première instance, X _________ n’avait pas besoin de renouveler en procédure de recours sa requête d’assistance judiciaire et de désignation d’un défenseur d’office (ATC P3 20 318 du 27 avril 2021).</w:t>
      </w:r>
    </w:p>
    <w:p>
      <w:r>
        <w:rPr>
          <w:b/>
        </w:rPr>
        <w:t>E. 8.2</w:t>
      </w:r>
    </w:p>
    <w:p>
      <w:r>
        <w:t>Etant donné que la recourante succombe, les frais de la procédure de recours sont mis à sa charge, l’octroi de l’assistance judiciaire ne libérant pas de les supporter (art. 416, 421 al. 2 let. c et 428 al. 1 CPP ; arrêt 6B_239/2021 du 26 mai 2021 consid. 5). L’émolument, qui doit respecter les principes de la couverture des frais et de l’équivalence des prestations, est fixé en fonction notamment de l’ampleur et de la difficulté de la cause (art. 424 al. 1 CPP et 1 al. 1, 13 al. 1 et 2 LTar). Il varie entre 90 et</w:t>
      </w:r>
    </w:p>
    <w:p>
      <w:r>
        <w:t>- 12 - 2400 fr. (art. 22 let. g LTar). En l’occurrence, eu égard à la difficulté de l’affaire inférieure à la moyenne, les frais sont arrêtés forfaitairement à 800 fr. (art. 424 al. 2 CPP et 11 LTar). S’agissant de la rémunération du défenseur d’office de la recourante, sous réserve de remboursement par la partie assistée et dont la situation financière le permet (cf. art. 135 al. 4 et 138 CPP), l’intéressé est indemnisé par l’Etat du Valais (art. 11 al. 1 LAJ) conformément au tarif des avocats du canton du for du procès (art. 135 al. 1 CPP), quelle que soit l’issue de la procédure de recours (ATF 139 IV 261 consid. 2.2.2 à 2.2.4), tout en tenant compte de l’art. 30 al. 1 LTar qui dispose que le conseil juridique habilité à se faire indemniser en vertu des dispositions en matière d'assistance judiciaire perçoit, en sus du remboursement de ses débours justifiés, des honoraires correspondant au 70 pour cent des honoraires prévus aux art. 31 à 40, mais au moins à une rémunération équitable telle que définie par la jurisprudence du Tribunal fédéral. Les honoraires, variant entre 300 et 2200 fr., sont fixés notamment d’après la nature et l’importance de la cause, ses difficultés, l’ampleur du travail et le temps utilement consacré par le conseil juridique (art. 27 al. 1 et 3 et 36 LTar). En l’occurrence, compte tenu de l’art. 30 al. 1 LTar, de la complexité de l’affaire inférieure à la moyenne et des prestations utiles de Me Charlotte Gagliardi, auteur d’un recours motivé et d’écritures complémentaires qu’il y a lieu de prendre en considération à l’exception de celles inutiles en matière d’assistance judiciaire, son indemnité réduite est arrêtée à 750 fr., débours compris. En vertu de la jurisprudence du Tribunal fédéral, comme Y _________ et Z _________ obtiennent gain de cause, l’État du Valais - et non pas la recourante, bien qu’elle ait succombé - leur doit une juste indemnité pour les dépenses occasionnées par la procédure de recours (art. 429 al. 1 let. a et 436 al. 1 CPP ; ATF 141 IV 476 consid. 1.2). Les honoraires d’avocat sont fixés selon les critères susmentionnés, en distinguant s’il s’agit d’un recours ou d’une simple détermination (arrêt du Tribunal fédéral 6B_767/2010 du 24 février 2011 consid. 3.3 et 3.4). En l’occurrence, compte tenu de la difficulté de l’affaire évoquée ci-dessus et des prestations utiles de Me Christine Sattiva Spring, auteure de la brève détermination complémentaire du 21 décembre 2022, l’indemnité est arrêtée à 300 fr., débours compris. S’agissant de leur détermination du 31 octobre 2022 rédigée sans le concours d'un avocat, les intimés ne sauraient prétendre à des dépens (ATF 135 III 127 consid. 4 et la jurisprudence citée).</w:t>
      </w:r>
    </w:p>
    <w:p>
      <w:r>
        <w:t>- 13 -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